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FF1A42" wp14:editId="199F06C2">
                <wp:simplePos x="0" y="0"/>
                <wp:positionH relativeFrom="column">
                  <wp:posOffset>28575</wp:posOffset>
                </wp:positionH>
                <wp:positionV relativeFrom="paragraph">
                  <wp:posOffset>513715</wp:posOffset>
                </wp:positionV>
                <wp:extent cx="6810375" cy="2762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D5" w:rsidRPr="003575FC" w:rsidRDefault="000700D5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0700D5" w:rsidRDefault="000700D5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45pt;width:536.25pt;height:21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" o:allowincell="f" strokeweight="2.25pt">
                <v:textbox>
                  <w:txbxContent>
                    <w:p w:rsidR="000700D5" w:rsidRPr="003575FC" w:rsidRDefault="000700D5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0700D5" w:rsidRDefault="000700D5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5C4717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0F05C2">
        <w:rPr>
          <w:rFonts w:ascii="Berlin Sans FB Demi" w:hAnsi="Berlin Sans FB Demi"/>
          <w:b/>
          <w:sz w:val="44"/>
        </w:rPr>
        <w:t>9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Pr="005C4717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F34E3F">
        <w:rPr>
          <w:rFonts w:ascii="Berlin Sans FB Demi" w:hAnsi="Berlin Sans FB Demi"/>
          <w:b/>
          <w:sz w:val="32"/>
        </w:rPr>
        <w:t xml:space="preserve">Personal </w:t>
      </w:r>
      <w:r w:rsidR="00A2302C" w:rsidRPr="00F34E3F">
        <w:rPr>
          <w:rFonts w:ascii="Berlin Sans FB Demi" w:hAnsi="Berlin Sans FB Demi"/>
          <w:b/>
          <w:sz w:val="32"/>
        </w:rPr>
        <w:t>and Social Awareness</w:t>
      </w:r>
      <w:r w:rsidR="001A5E2C" w:rsidRPr="00F34E3F">
        <w:rPr>
          <w:rFonts w:ascii="Berlin Sans FB Demi" w:hAnsi="Berlin Sans FB Demi"/>
          <w:b/>
          <w:sz w:val="32"/>
        </w:rPr>
        <w:t xml:space="preserve"> and</w:t>
      </w:r>
      <w:r w:rsidR="001A5E2C" w:rsidRPr="00417E05">
        <w:rPr>
          <w:rFonts w:ascii="Berlin Sans FB Demi" w:hAnsi="Berlin Sans FB Demi"/>
          <w:b/>
          <w:sz w:val="32"/>
        </w:rPr>
        <w:t xml:space="preserve"> Responsibility (Core Competencies</w:t>
      </w:r>
      <w:r w:rsidR="00A2302C" w:rsidRPr="00417E05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F1D2E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422B51" w:rsidRDefault="001F1D2E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Describe different aspects of </w:t>
            </w:r>
            <w:r w:rsidR="00417E05" w:rsidRPr="00417E05">
              <w:rPr>
                <w:rFonts w:ascii="Garamond" w:hAnsi="Garamond"/>
                <w:szCs w:val="24"/>
              </w:rPr>
              <w:t>their</w:t>
            </w:r>
            <w:r w:rsidRPr="00417E05">
              <w:rPr>
                <w:rFonts w:ascii="Garamond" w:hAnsi="Garamond"/>
                <w:szCs w:val="24"/>
              </w:rPr>
              <w:t xml:space="preserve"> identity, have pride in who </w:t>
            </w:r>
            <w:r w:rsidR="00417E05" w:rsidRPr="00417E05">
              <w:rPr>
                <w:rFonts w:ascii="Garamond" w:hAnsi="Garamond"/>
                <w:szCs w:val="24"/>
              </w:rPr>
              <w:t>they 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63410A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</w:t>
            </w:r>
            <w:r w:rsidR="00417E05">
              <w:rPr>
                <w:rFonts w:ascii="Garamond" w:hAnsi="Garamond"/>
                <w:szCs w:val="24"/>
              </w:rPr>
              <w:t>their</w:t>
            </w:r>
            <w:r w:rsidR="00122E39" w:rsidRPr="00422B51">
              <w:rPr>
                <w:rFonts w:ascii="Garamond" w:hAnsi="Garamond"/>
                <w:szCs w:val="24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422B51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 w:rsidRPr="001F30D6">
              <w:rPr>
                <w:rFonts w:ascii="Garamond" w:hAnsi="Garamond"/>
                <w:szCs w:val="24"/>
              </w:rPr>
              <w:t xml:space="preserve">Recognize their value and advocate for their rights.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1F30D6">
              <w:rPr>
                <w:rFonts w:ascii="Garamond" w:hAnsi="Garamond"/>
                <w:szCs w:val="24"/>
              </w:rPr>
              <w:t xml:space="preserve">ake responsibility for </w:t>
            </w:r>
            <w:r>
              <w:rPr>
                <w:rFonts w:ascii="Garamond" w:hAnsi="Garamond"/>
                <w:szCs w:val="24"/>
              </w:rPr>
              <w:t>their</w:t>
            </w:r>
            <w:r w:rsidRPr="001F30D6">
              <w:rPr>
                <w:rFonts w:ascii="Garamond" w:hAnsi="Garamond"/>
                <w:szCs w:val="24"/>
              </w:rPr>
              <w:t xml:space="preserve"> choices, actions, and </w:t>
            </w:r>
            <w:r>
              <w:rPr>
                <w:rFonts w:ascii="Garamond" w:hAnsi="Garamond"/>
                <w:szCs w:val="24"/>
              </w:rPr>
              <w:t>achievements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Set </w:t>
            </w:r>
            <w:r w:rsidRPr="001F30D6">
              <w:rPr>
                <w:rFonts w:ascii="Garamond" w:hAnsi="Garamond"/>
                <w:szCs w:val="24"/>
              </w:rPr>
              <w:t xml:space="preserve">priorities; implement, monitor, and adjust </w:t>
            </w:r>
            <w:r>
              <w:rPr>
                <w:rFonts w:ascii="Garamond" w:hAnsi="Garamond"/>
                <w:szCs w:val="24"/>
              </w:rPr>
              <w:t>a plan; and assess the results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Take</w:t>
            </w:r>
            <w:r w:rsidRPr="001F30D6">
              <w:rPr>
                <w:rFonts w:ascii="Garamond" w:hAnsi="Garamond"/>
                <w:szCs w:val="24"/>
              </w:rPr>
              <w:t xml:space="preserve"> responsibility </w:t>
            </w:r>
            <w:r>
              <w:rPr>
                <w:rFonts w:ascii="Garamond" w:hAnsi="Garamond"/>
                <w:szCs w:val="24"/>
              </w:rPr>
              <w:t>for their</w:t>
            </w:r>
            <w:r w:rsidRPr="001F30D6">
              <w:rPr>
                <w:rFonts w:ascii="Garamond" w:hAnsi="Garamond"/>
                <w:szCs w:val="24"/>
              </w:rPr>
              <w:t xml:space="preserve"> learning, seeking help as </w:t>
            </w:r>
            <w:r>
              <w:rPr>
                <w:rFonts w:ascii="Garamond" w:hAnsi="Garamond"/>
                <w:szCs w:val="24"/>
              </w:rPr>
              <w:t>they</w:t>
            </w:r>
            <w:r w:rsidRPr="001F30D6">
              <w:rPr>
                <w:rFonts w:ascii="Garamond" w:hAnsi="Garamond"/>
                <w:szCs w:val="24"/>
              </w:rPr>
              <w:t xml:space="preserve"> need it.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Use</w:t>
            </w:r>
            <w:r w:rsidRPr="001F30D6">
              <w:rPr>
                <w:rFonts w:ascii="Garamond" w:hAnsi="Garamond"/>
                <w:szCs w:val="24"/>
              </w:rPr>
              <w:t xml:space="preserve"> strategies for dealing with emotional challenges</w:t>
            </w:r>
            <w:r>
              <w:rPr>
                <w:rFonts w:ascii="Garamond" w:hAnsi="Garamond"/>
                <w:szCs w:val="24"/>
              </w:rPr>
              <w:t>, for</w:t>
            </w:r>
            <w:r w:rsidRPr="001F30D6">
              <w:rPr>
                <w:rFonts w:ascii="Garamond" w:hAnsi="Garamond"/>
                <w:szCs w:val="24"/>
              </w:rPr>
              <w:t xml:space="preserve"> f</w:t>
            </w:r>
            <w:r>
              <w:rPr>
                <w:rFonts w:ascii="Garamond" w:hAnsi="Garamond"/>
                <w:szCs w:val="24"/>
              </w:rPr>
              <w:t>inding peace in stressful times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0700D5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Pr="001F30D6">
              <w:rPr>
                <w:rFonts w:ascii="Garamond" w:hAnsi="Garamond"/>
                <w:szCs w:val="24"/>
              </w:rPr>
              <w:t xml:space="preserve">ind the social support </w:t>
            </w:r>
            <w:r>
              <w:rPr>
                <w:rFonts w:ascii="Garamond" w:hAnsi="Garamond"/>
                <w:szCs w:val="24"/>
              </w:rPr>
              <w:t>they need</w:t>
            </w:r>
            <w:r w:rsidRPr="001F30D6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17E05" w:rsidRDefault="00417E05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Take purposeful action to supp</w:t>
            </w:r>
            <w:r w:rsidR="001F30D6">
              <w:rPr>
                <w:rFonts w:ascii="Garamond" w:hAnsi="Garamond"/>
                <w:szCs w:val="24"/>
              </w:rPr>
              <w:t>ort others and the environment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Identify how their actions and the actions of others affect their community and the natural environment and can work to make positive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422B51" w:rsidRDefault="00417E05" w:rsidP="005C4717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Respect differen</w:t>
            </w:r>
            <w:r w:rsidR="005C4717">
              <w:rPr>
                <w:rFonts w:ascii="Garamond" w:hAnsi="Garamond"/>
                <w:szCs w:val="24"/>
              </w:rPr>
              <w:t>ces, and demonstrate respectful/</w:t>
            </w:r>
            <w:r w:rsidRPr="00417E05">
              <w:rPr>
                <w:rFonts w:ascii="Garamond" w:hAnsi="Garamond"/>
                <w:szCs w:val="24"/>
              </w:rPr>
              <w:t xml:space="preserve">inclusive </w:t>
            </w:r>
            <w:proofErr w:type="spellStart"/>
            <w:r w:rsidRPr="00417E05">
              <w:rPr>
                <w:rFonts w:ascii="Garamond" w:hAnsi="Garamond"/>
                <w:szCs w:val="24"/>
              </w:rPr>
              <w:t>behaviour</w:t>
            </w:r>
            <w:proofErr w:type="spellEnd"/>
            <w:r w:rsidRPr="00417E05">
              <w:rPr>
                <w:rFonts w:ascii="Garamond" w:hAnsi="Garamond"/>
                <w:szCs w:val="24"/>
              </w:rPr>
              <w:t>, 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Advocate for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Show awareness of how others may feel and take steps to help them feel included.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1F30D6" w:rsidP="00417E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417E05" w:rsidRPr="00417E05">
              <w:rPr>
                <w:rFonts w:ascii="Garamond" w:hAnsi="Garamond"/>
                <w:szCs w:val="24"/>
              </w:rPr>
              <w:t>aintain relationships with people from different generations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Default="00D01D12" w:rsidP="00086D97">
      <w:pPr>
        <w:ind w:firstLine="0"/>
        <w:rPr>
          <w:rFonts w:ascii="Berlin Sans FB Demi" w:hAnsi="Berlin Sans FB Demi"/>
          <w:b/>
          <w:sz w:val="28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BC3C61" w:rsidRPr="009573E8" w:rsidRDefault="00D148D9" w:rsidP="008C1C50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 xml:space="preserve">Communicate by writing, using letters and words and applying basic conventions of </w:t>
            </w:r>
            <w:r w:rsidR="008C1C50">
              <w:rPr>
                <w:rFonts w:ascii="Garamond" w:hAnsi="Garamond"/>
                <w:szCs w:val="24"/>
              </w:rPr>
              <w:t>Canadian</w:t>
            </w:r>
            <w:r w:rsidRPr="00D148D9">
              <w:rPr>
                <w:rFonts w:ascii="Garamond" w:hAnsi="Garamond"/>
                <w:szCs w:val="24"/>
              </w:rPr>
              <w:t xml:space="preserve"> spelling, grammar, and punctuation</w:t>
            </w: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5C38AD" w:rsidRPr="00D148D9" w:rsidRDefault="003576EB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 xml:space="preserve">Use writing and design processes to plan, develop, and create </w:t>
            </w:r>
            <w:r w:rsidR="003C6231">
              <w:rPr>
                <w:rFonts w:ascii="Garamond" w:hAnsi="Garamond"/>
                <w:szCs w:val="24"/>
              </w:rPr>
              <w:t xml:space="preserve">fiction and non-fiction </w:t>
            </w:r>
            <w:r w:rsidRPr="003576EB">
              <w:rPr>
                <w:rFonts w:ascii="Garamond" w:hAnsi="Garamond"/>
                <w:szCs w:val="24"/>
              </w:rPr>
              <w:t>texts for a variety of purposes and audiences</w:t>
            </w: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:rsidR="009573E8" w:rsidRPr="00BC3C61" w:rsidRDefault="003C623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Assess and refine texts to improve their clarity, effectiveness, and impact according to purpose, audience, and message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FC5336" w:rsidRPr="00BC3C61" w:rsidRDefault="007E237B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Access information and ideas for diverse purposes and from a variety of sources and evaluate their relevance, accuracy, and reliability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3C6231" w:rsidRDefault="007E237B" w:rsidP="005C4717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 xml:space="preserve">Think critically, creatively, and reflectively to explore ideas within, between, </w:t>
            </w:r>
            <w:r w:rsidR="005C4717">
              <w:rPr>
                <w:rFonts w:ascii="Garamond" w:hAnsi="Garamond"/>
                <w:szCs w:val="24"/>
              </w:rPr>
              <w:t>and</w:t>
            </w:r>
            <w:r w:rsidRPr="007E237B">
              <w:rPr>
                <w:rFonts w:ascii="Garamond" w:hAnsi="Garamond"/>
                <w:szCs w:val="24"/>
              </w:rPr>
              <w:t xml:space="preserve"> beyond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BC3C61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and identify the role of personal, social, and cultural contexts, values, and perspectives in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5C38AD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lastRenderedPageBreak/>
              <w:t>Recognize how language constructs personal, social, and cultural identity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:rsidTr="000700D5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Respond to text in personal, creative, and critical ways</w:t>
            </w: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:rsidTr="000700D5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Understand how literary elements, techniques, and devices enhance and shape meaning</w:t>
            </w: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7E237B" w:rsidRDefault="00BF606C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BF606C">
              <w:rPr>
                <w:rFonts w:ascii="Garamond" w:hAnsi="Garamond"/>
                <w:szCs w:val="24"/>
              </w:rPr>
              <w:t>Develop an awareness of the diversity within and across First Peoples’ societies represented in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0F05C2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FC5336" w:rsidRPr="000F05C2" w:rsidRDefault="00FC5336" w:rsidP="000F05C2">
            <w:pPr>
              <w:ind w:hanging="18"/>
              <w:rPr>
                <w:rFonts w:ascii="Garamond" w:hAnsi="Garamond"/>
                <w:szCs w:val="24"/>
              </w:rPr>
            </w:pPr>
            <w:r w:rsidRPr="000F05C2">
              <w:rPr>
                <w:rFonts w:ascii="Garamond" w:hAnsi="Garamond"/>
                <w:szCs w:val="24"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FC5336" w:rsidRPr="00B82469" w:rsidTr="000F05C2">
        <w:trPr>
          <w:trHeight w:val="562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6D6800" w:rsidRDefault="00634457" w:rsidP="000F05C2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 xml:space="preserve">Literary elements: Characterization -character types (e.g., </w:t>
            </w:r>
            <w:r w:rsidR="000F05C2">
              <w:rPr>
                <w:rFonts w:ascii="Garamond" w:hAnsi="Garamond"/>
                <w:szCs w:val="24"/>
              </w:rPr>
              <w:t>flat, round, dynamic, static</w:t>
            </w:r>
            <w:r w:rsidRPr="006D6800">
              <w:rPr>
                <w:rFonts w:ascii="Garamond" w:hAnsi="Garamond"/>
                <w:szCs w:val="24"/>
              </w:rPr>
              <w:t xml:space="preserve">), story structures (e.g. </w:t>
            </w:r>
            <w:r w:rsidR="000F05C2" w:rsidRPr="006D6800">
              <w:rPr>
                <w:rFonts w:ascii="Garamond" w:hAnsi="Garamond"/>
                <w:szCs w:val="24"/>
              </w:rPr>
              <w:t>Linear</w:t>
            </w:r>
            <w:r w:rsidRPr="006D6800">
              <w:rPr>
                <w:rFonts w:ascii="Garamond" w:hAnsi="Garamond"/>
                <w:szCs w:val="24"/>
              </w:rPr>
              <w:t>, cyclical, iterative), setting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0F05C2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6D6800" w:rsidRDefault="00634457" w:rsidP="000F05C2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 xml:space="preserve">Literary devices: </w:t>
            </w:r>
            <w:r w:rsidR="000F05C2">
              <w:rPr>
                <w:rFonts w:ascii="Garamond" w:hAnsi="Garamond"/>
                <w:szCs w:val="24"/>
              </w:rPr>
              <w:t>Metaphor, allusion, irony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0F05C2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6D6800" w:rsidRDefault="00634457" w:rsidP="000F05C2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non-fiction texts: Facts and data in informational articles; chronology in memoirs, biographies, etc.; headings and subheadings in textbooks; analogies and real-life examples; use of third person; diagrams, maps, tables and charts, captions, labels, and web links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0F05C2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6D6800" w:rsidRDefault="00634457" w:rsidP="000F05C2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visual/graphic texts: Layout, infographics, emoticons, icons, symbols, interactive visuals, hypertext, and colour, as well as illustration styles (e.g., realism, cartoon, sketch, outline)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BF606C">
        <w:trPr>
          <w:cantSplit/>
          <w:trHeight w:val="589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0F05C2" w:rsidRDefault="000F05C2" w:rsidP="00BF606C">
            <w:pPr>
              <w:ind w:hanging="18"/>
              <w:rPr>
                <w:rFonts w:ascii="Garamond" w:hAnsi="Garamond"/>
                <w:szCs w:val="24"/>
              </w:rPr>
            </w:pPr>
            <w:r w:rsidRPr="000F05C2">
              <w:rPr>
                <w:rFonts w:ascii="Garamond" w:hAnsi="Garamond"/>
                <w:szCs w:val="24"/>
              </w:rPr>
              <w:t xml:space="preserve">Rhetorical devices: Figurative language, parallelism, repetition irony, </w:t>
            </w:r>
            <w:proofErr w:type="spellStart"/>
            <w:r w:rsidRPr="000F05C2">
              <w:rPr>
                <w:rFonts w:ascii="Garamond" w:hAnsi="Garamond"/>
                <w:szCs w:val="24"/>
              </w:rPr>
              <w:t>humour</w:t>
            </w:r>
            <w:proofErr w:type="spellEnd"/>
            <w:r w:rsidRPr="000F05C2">
              <w:rPr>
                <w:rFonts w:ascii="Garamond" w:hAnsi="Garamond"/>
                <w:szCs w:val="24"/>
              </w:rPr>
              <w:t>, exaggeration, emotional language, logic, direct</w:t>
            </w:r>
            <w:r w:rsidR="00BF606C">
              <w:rPr>
                <w:rFonts w:ascii="Garamond" w:hAnsi="Garamond"/>
                <w:szCs w:val="24"/>
              </w:rPr>
              <w:t xml:space="preserve"> a</w:t>
            </w:r>
            <w:r w:rsidRPr="000F05C2">
              <w:rPr>
                <w:rFonts w:ascii="Garamond" w:hAnsi="Garamond"/>
                <w:szCs w:val="24"/>
              </w:rPr>
              <w:t>ddress, rhetorical questions, and allusion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634457" w:rsidRPr="00B82469" w:rsidTr="000F05C2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  <w:vAlign w:val="center"/>
          </w:tcPr>
          <w:p w:rsidR="00634457" w:rsidRPr="006D6800" w:rsidRDefault="000F05C2" w:rsidP="000F05C2">
            <w:pPr>
              <w:ind w:hanging="18"/>
              <w:rPr>
                <w:rFonts w:ascii="Garamond" w:hAnsi="Garamond"/>
                <w:szCs w:val="24"/>
              </w:rPr>
            </w:pPr>
            <w:r w:rsidRPr="000F05C2">
              <w:rPr>
                <w:rFonts w:ascii="Garamond" w:hAnsi="Garamond"/>
                <w:szCs w:val="24"/>
              </w:rPr>
              <w:t>Connotations and denotation</w:t>
            </w: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634457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634457" w:rsidRPr="006D6800" w:rsidRDefault="00BF606C" w:rsidP="00AB036C">
            <w:pPr>
              <w:ind w:hanging="18"/>
              <w:rPr>
                <w:rFonts w:ascii="Garamond" w:hAnsi="Garamond"/>
                <w:szCs w:val="24"/>
              </w:rPr>
            </w:pPr>
            <w:r w:rsidRPr="00AB036C">
              <w:rPr>
                <w:rFonts w:ascii="Garamond" w:hAnsi="Garamond"/>
                <w:szCs w:val="24"/>
              </w:rPr>
              <w:t>Language change over time</w:t>
            </w: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BF606C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BF606C" w:rsidRPr="006D6800" w:rsidRDefault="00BF606C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style: Diction, figurative language, tone, inclusive language, and degree of formality</w:t>
            </w: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BF606C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BF606C" w:rsidRPr="006D6800" w:rsidRDefault="00BF606C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Syntax and sentence fluency: Mix of simple, compound, and complex sentences, use of transitional words, awareness of run-on sentences and sentence fragments</w:t>
            </w: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BF606C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BF606C" w:rsidRPr="006D6800" w:rsidRDefault="00BF606C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Demonstrate presentation techniques that: Reflect an appropriate choice of medium for the purpose and the audience and demonstrate thought and care in organization</w:t>
            </w: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F606C" w:rsidRPr="00EA589B" w:rsidRDefault="00BF606C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232A76" w:rsidRDefault="00232A76" w:rsidP="00232A76">
      <w:pPr>
        <w:ind w:firstLine="0"/>
        <w:rPr>
          <w:rFonts w:ascii="Garamond" w:hAnsi="Garamond"/>
          <w:b/>
          <w:sz w:val="28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7E237B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0700D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22464E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22464E" w:rsidRPr="00B74ABC" w:rsidRDefault="0022464E" w:rsidP="00B74ABC">
            <w:pPr>
              <w:ind w:hanging="18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Inductively and deductively reason and use logic to explore, make connections, predict, analyze, generalize, and make conclusions  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22464E" w:rsidRPr="00B74ABC" w:rsidRDefault="0022464E" w:rsidP="00B74ABC">
            <w:pPr>
              <w:ind w:hanging="18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Develop and apply mental math strategies and estimate amounts and outcomes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Implement multiple strategies to solve problems in both abstract and real-life situations using different cultural perspectives 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trHeight w:val="251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Develop, construct, and apply mathematical understanding through play, inquiry, and problem solving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cantSplit/>
          <w:trHeight w:val="287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cantSplit/>
          <w:trHeight w:val="170"/>
        </w:trPr>
        <w:tc>
          <w:tcPr>
            <w:tcW w:w="8515" w:type="dxa"/>
            <w:vAlign w:val="center"/>
          </w:tcPr>
          <w:p w:rsidR="00B74ABC" w:rsidRPr="00087BF7" w:rsidRDefault="0022464E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Apply cultural perspectives of First Peoples to the concepts of locating, measuring, and numbering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7E237B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center"/>
          </w:tcPr>
          <w:p w:rsidR="00D01D12" w:rsidRPr="00B82469" w:rsidRDefault="00D01D12" w:rsidP="000700D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lastRenderedPageBreak/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F606C" w:rsidRPr="00B82469" w:rsidTr="000C5F67">
        <w:trPr>
          <w:gridAfter w:val="1"/>
          <w:wAfter w:w="7" w:type="dxa"/>
          <w:trHeight w:val="33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BF606C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Numerical and spatial reasoning, logic, and patterns to solve puzzles and games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28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Exponents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21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Operations with polynomials, of degree less than or equal to two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29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>Types of income (e.g.</w:t>
            </w:r>
            <w:r w:rsidR="00BF606C" w:rsidRPr="000C5F67">
              <w:rPr>
                <w:rFonts w:ascii="Garamond" w:hAnsi="Garamond"/>
                <w:szCs w:val="24"/>
              </w:rPr>
              <w:t xml:space="preserve">, wages, salary, piece work, commission)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8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Operations with rational numbers (addition, subtraction, multiplication, division, and order of operations)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17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Rational numbers and order of operations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73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>Two-variable linear relations, using graphing, interpolation, a</w:t>
            </w:r>
            <w:r w:rsidR="00BF606C" w:rsidRPr="000C5F67">
              <w:rPr>
                <w:rFonts w:ascii="Garamond" w:hAnsi="Garamond"/>
                <w:szCs w:val="24"/>
              </w:rPr>
              <w:t xml:space="preserve">nd extrapolation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24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Multi-step one-variable linear equations, including distribution and rational coefficients, constants, and solutions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325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Spatial proportional reasoning (e.g., scale diagrams, similar triangles, linear unit conversions )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18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>Probability and stat</w:t>
            </w:r>
            <w:r w:rsidR="00BF606C" w:rsidRPr="000C5F67">
              <w:rPr>
                <w:rFonts w:ascii="Garamond" w:hAnsi="Garamond"/>
                <w:szCs w:val="24"/>
              </w:rPr>
              <w:t xml:space="preserve">istics in society (e.g., sampling techniques, misleading stats)     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F606C" w:rsidRPr="00B82469" w:rsidTr="000C5F67">
        <w:trPr>
          <w:gridAfter w:val="1"/>
          <w:wAfter w:w="7" w:type="dxa"/>
          <w:trHeight w:val="26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BF606C" w:rsidRPr="000C5F67" w:rsidRDefault="000C5F67" w:rsidP="000C5F67">
            <w:pPr>
              <w:ind w:hanging="18"/>
              <w:rPr>
                <w:rFonts w:ascii="Garamond" w:hAnsi="Garamond"/>
                <w:szCs w:val="24"/>
              </w:rPr>
            </w:pPr>
            <w:r w:rsidRPr="000C5F67">
              <w:rPr>
                <w:rFonts w:ascii="Garamond" w:hAnsi="Garamond"/>
                <w:szCs w:val="24"/>
              </w:rPr>
              <w:t xml:space="preserve">Financial literacy - simple budgets and transactions (e.g., banking, interest, saving, planned purchases) </w:t>
            </w: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F606C" w:rsidRPr="00EA589B" w:rsidRDefault="00BF606C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B82469" w:rsidRDefault="009961AE" w:rsidP="00232A76">
      <w:pPr>
        <w:ind w:firstLine="0"/>
        <w:rPr>
          <w:rFonts w:ascii="Garamond" w:hAnsi="Garamond"/>
          <w:b/>
          <w:sz w:val="28"/>
        </w:rPr>
      </w:pPr>
    </w:p>
    <w:p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0C5F67">
        <w:rPr>
          <w:rFonts w:ascii="Berlin Sans FB Demi" w:hAnsi="Berlin Sans FB Demi"/>
        </w:rPr>
        <w:t>1750-1919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93"/>
        <w:gridCol w:w="10"/>
        <w:gridCol w:w="783"/>
        <w:gridCol w:w="10"/>
        <w:gridCol w:w="783"/>
        <w:gridCol w:w="10"/>
      </w:tblGrid>
      <w:tr w:rsidR="008A0EAC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4E65AF" w:rsidP="004E65AF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Ter</w:t>
            </w:r>
            <w:r w:rsidR="00FF5D34" w:rsidRPr="00071D8F">
              <w:rPr>
                <w:rFonts w:ascii="Garamond" w:hAnsi="Garamond"/>
                <w:b/>
                <w:szCs w:val="24"/>
              </w:rPr>
              <w:t>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0671FE" w:rsidRDefault="00642C47" w:rsidP="006B2613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Use inquiry processes and skills to: ask questions; gather, interpret, and analyze ideas; and communicate findings and decisions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Assess the significance of people, places, events, and developments, and compare varying perspectives on their historical significance at particular times and places, and from group to group (significance)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Assess the justification for competing historical accounts after investigating points of contention, reliability of sources, and adequacy of evidence (evidence)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Compare and contrast continuities and changes for different groups during this time period (continuity and change)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Assess how prevailing conditions and the actions of individuals or groups affect events, decisions, and developments (cause and consequence)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Explain different perspectives on past or present people, places, issues, and events by considering prevailing norms, values, worldviews, and beliefs (perspective)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Recognize implicit and explicit ethical judgments in a variety of sources (ethical judgments)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6F03D0" w:rsidRPr="00B82469" w:rsidTr="006F03D0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F03D0" w:rsidRPr="006F03D0" w:rsidRDefault="006F03D0" w:rsidP="006F03D0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F03D0">
              <w:rPr>
                <w:rFonts w:ascii="Garamond" w:eastAsia="Times New Roman" w:hAnsi="Garamond"/>
                <w:szCs w:val="24"/>
              </w:rPr>
              <w:t>Make reasoned ethical judgments about controversial actions in the past and present, and whether we have a responsibility to respond (ethical judgment)</w:t>
            </w:r>
          </w:p>
        </w:tc>
        <w:tc>
          <w:tcPr>
            <w:tcW w:w="80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F03D0" w:rsidRPr="00EA589B" w:rsidRDefault="006F03D0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Before w:val="1"/>
          <w:wBefore w:w="7" w:type="dxa"/>
          <w:trHeight w:val="55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0C5F67" w:rsidRPr="00B82469" w:rsidTr="000C5F67">
        <w:trPr>
          <w:gridAfter w:val="1"/>
          <w:wAfter w:w="10" w:type="dxa"/>
          <w:trHeight w:val="181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Political, social, economic, and technological revolutions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The continuing effects of imperialism and colonialism on indigenous peoples in Canada and around the world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lastRenderedPageBreak/>
              <w:t xml:space="preserve">Global demographic shifts, including patterns of migration and population growth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Nationalism and the development of modern nation-states, including Canada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Local, regional, and global conflicts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Discriminatory policies, attitudes, and historical wrongs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>Physiographic features of Canada and geological processes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C5F67" w:rsidRPr="00B82469" w:rsidTr="000C5F67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0C5F67" w:rsidRPr="000C5F67" w:rsidRDefault="000C5F67" w:rsidP="000C5F6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C5F67">
              <w:rPr>
                <w:rFonts w:ascii="Garamond" w:eastAsia="Times New Roman" w:hAnsi="Garamond"/>
                <w:szCs w:val="24"/>
              </w:rPr>
              <w:t xml:space="preserve">Political, social, economic, and technological revolutions </w:t>
            </w:r>
          </w:p>
        </w:tc>
        <w:tc>
          <w:tcPr>
            <w:tcW w:w="793" w:type="dxa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0C5F67" w:rsidRPr="00EA589B" w:rsidRDefault="000C5F67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AB25E4" w:rsidRDefault="00AB25E4" w:rsidP="00232A76">
      <w:pPr>
        <w:ind w:firstLine="0"/>
        <w:rPr>
          <w:rFonts w:ascii="Garamond" w:hAnsi="Garamond" w:cs="Calibri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0700D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0700D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Identify questions to answer or problems to solve through scientific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:rsidR="00452DA5" w:rsidRPr="00336A5E" w:rsidRDefault="00AB25E4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AB25E4">
              <w:rPr>
                <w:rFonts w:ascii="Garamond" w:eastAsia="Times New Roman" w:hAnsi="Garamond"/>
                <w:szCs w:val="24"/>
              </w:rPr>
              <w:t>Formulate multiple hypotheses and predict multiple outcomes</w:t>
            </w: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00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Make predictions about the findings of their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81"/>
        </w:trPr>
        <w:tc>
          <w:tcPr>
            <w:tcW w:w="8515" w:type="dxa"/>
            <w:vAlign w:val="center"/>
          </w:tcPr>
          <w:p w:rsidR="00915822" w:rsidRPr="00336A5E" w:rsidRDefault="00AB25E4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AB25E4">
              <w:rPr>
                <w:rFonts w:ascii="Garamond" w:eastAsia="Times New Roman" w:hAnsi="Garamond"/>
                <w:szCs w:val="24"/>
              </w:rPr>
              <w:t>Collaboratively and personally plan, select, and use appropriate investigation methods, including field work and lab experiments, to collect reliable data (qualitative and quantitative)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915822" w:rsidRPr="00336A5E" w:rsidRDefault="00AB25E4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AB25E4">
              <w:rPr>
                <w:rFonts w:ascii="Garamond" w:eastAsia="Times New Roman" w:hAnsi="Garamond"/>
                <w:szCs w:val="24"/>
              </w:rPr>
              <w:t>Seek and analyze patterns, trends, and connections in data, including describing relationships between variables and identifying inconsistencies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2E7D" w:rsidRPr="00AB25E4" w:rsidRDefault="00CC2E7D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Ensure that safety and ethical guidelines are followed in their investigations</w:t>
            </w: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:rsidR="00915822" w:rsidRPr="00336A5E" w:rsidRDefault="00AB25E4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AB25E4">
              <w:rPr>
                <w:rFonts w:ascii="Garamond" w:eastAsia="Times New Roman" w:hAnsi="Garamond"/>
                <w:szCs w:val="24"/>
              </w:rPr>
              <w:t>Analyze cause-and-effect relationships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Evaluate the investigation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915822" w:rsidRPr="00324924" w:rsidRDefault="00AB25E4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AB25E4">
              <w:rPr>
                <w:rFonts w:ascii="Garamond" w:eastAsia="Times New Roman" w:hAnsi="Garamond"/>
                <w:szCs w:val="24"/>
              </w:rPr>
              <w:t>Communicate scientific ideas, information, and perhaps a suggested course of action for a specific purpose and audience, constructing evidence-based arguments and using appropriate scientific language, conventions, and representations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:rsidTr="000700D5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2E7D" w:rsidRPr="00702ECB" w:rsidRDefault="00CC2E7D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Consider social, ethical, and environmental implications of the findings from their own and others’ investigations</w:t>
            </w: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0700D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915822" w:rsidRPr="00B82469" w:rsidRDefault="00915822" w:rsidP="000700D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63742" w:rsidRPr="00B82469" w:rsidTr="000700D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763742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>Asexual reproduction:</w:t>
            </w:r>
            <w:r w:rsidR="00763742" w:rsidRPr="00AB25E4">
              <w:rPr>
                <w:rFonts w:ascii="Garamond" w:hAnsi="Garamond"/>
                <w:szCs w:val="24"/>
              </w:rPr>
              <w:t xml:space="preserve"> mitosis, different forms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>Sexual reproduction:</w:t>
            </w:r>
            <w:r w:rsidR="00763742" w:rsidRPr="00AB25E4">
              <w:rPr>
                <w:rFonts w:ascii="Garamond" w:hAnsi="Garamond"/>
                <w:szCs w:val="24"/>
              </w:rPr>
              <w:t xml:space="preserve"> meiosis, human sexual reproduction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763742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>Element properties as organized in the</w:t>
            </w:r>
            <w:r w:rsidR="00763742" w:rsidRPr="00AB25E4">
              <w:rPr>
                <w:rFonts w:ascii="Garamond" w:hAnsi="Garamond"/>
                <w:szCs w:val="24"/>
              </w:rPr>
              <w:t xml:space="preserve"> periodic table 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 xml:space="preserve">Circuits — must be complete for electrons to flow 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 xml:space="preserve">Voltage, current, and resistance 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>Effects of solar radiation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AB25E4">
              <w:rPr>
                <w:rFonts w:ascii="Garamond" w:hAnsi="Garamond"/>
                <w:szCs w:val="24"/>
              </w:rPr>
              <w:t xml:space="preserve">on the cycling of matter and energy 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>Matter cycles within</w:t>
            </w:r>
            <w:r w:rsidR="00763742" w:rsidRPr="00AB25E4">
              <w:rPr>
                <w:rFonts w:ascii="Garamond" w:hAnsi="Garamond"/>
                <w:szCs w:val="24"/>
              </w:rPr>
              <w:t xml:space="preserve"> biotic and abiotic components of ecosystems 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63742" w:rsidRPr="00B82469" w:rsidTr="000700D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</w:tcPr>
          <w:p w:rsidR="00763742" w:rsidRPr="00AB25E4" w:rsidRDefault="00AB25E4" w:rsidP="00AB25E4">
            <w:pPr>
              <w:ind w:firstLine="0"/>
              <w:rPr>
                <w:rFonts w:ascii="Garamond" w:hAnsi="Garamond"/>
                <w:szCs w:val="24"/>
              </w:rPr>
            </w:pPr>
            <w:r w:rsidRPr="00AB25E4">
              <w:rPr>
                <w:rFonts w:ascii="Garamond" w:hAnsi="Garamond"/>
                <w:szCs w:val="24"/>
              </w:rPr>
              <w:t xml:space="preserve">Sustainability </w:t>
            </w:r>
            <w:r w:rsidR="00763742" w:rsidRPr="00AB25E4">
              <w:rPr>
                <w:rFonts w:ascii="Garamond" w:hAnsi="Garamond"/>
                <w:szCs w:val="24"/>
              </w:rPr>
              <w:t>of systems and First Peoples’ principles of interconnectedness</w:t>
            </w: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63742" w:rsidRPr="00EA589B" w:rsidRDefault="00763742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Default="00D01D12" w:rsidP="00D01D12">
      <w:pPr>
        <w:ind w:firstLine="0"/>
        <w:rPr>
          <w:rFonts w:ascii="Garamond" w:hAnsi="Garamond"/>
          <w:b/>
          <w:sz w:val="28"/>
        </w:rPr>
      </w:pPr>
    </w:p>
    <w:p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:rsidTr="000700D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E77F66" w:rsidRDefault="00D01D12" w:rsidP="000700D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:rsidTr="000700D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0700D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0700D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0700D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0700D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0700D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0700D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54B8F" w:rsidP="000700D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ways to monitor and adjust physical exertion levels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1D12">
              <w:rPr>
                <w:rFonts w:ascii="Garamond" w:hAnsi="Garamond"/>
                <w:szCs w:val="24"/>
              </w:rPr>
              <w:t xml:space="preserve">(e.g. </w:t>
            </w:r>
            <w:r>
              <w:rPr>
                <w:rFonts w:ascii="Garamond" w:hAnsi="Garamond"/>
                <w:szCs w:val="24"/>
              </w:rPr>
              <w:t xml:space="preserve">checking </w:t>
            </w:r>
            <w:r w:rsidR="00D01D12">
              <w:rPr>
                <w:rFonts w:ascii="Garamond" w:hAnsi="Garamond"/>
                <w:szCs w:val="24"/>
              </w:rPr>
              <w:t>pulse, etc.)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0700D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Identify/employ t</w:t>
            </w:r>
            <w:r w:rsidRPr="00D54B8F">
              <w:rPr>
                <w:rFonts w:ascii="Garamond" w:hAnsi="Garamond"/>
                <w:szCs w:val="24"/>
              </w:rPr>
              <w:t xml:space="preserve">raining principles to enhance personal fitness levels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4A075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4A0751">
              <w:rPr>
                <w:rFonts w:ascii="Garamond" w:hAnsi="Garamond"/>
                <w:szCs w:val="24"/>
              </w:rPr>
              <w:t>Create and evaluate strategies for managing physical, emotional, and social changes during puberty and adolescence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Identify, apply, and reflect on strategies used to pursue personal healthy-living goals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Describe and apply strategies for developing and maintaining healthy relationships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7E1A61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>Describe and assess strategies for managing problems related to mental well-being and substance use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2E7D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CC2E7D" w:rsidRDefault="004A075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4A0751">
              <w:rPr>
                <w:rFonts w:ascii="Garamond" w:hAnsi="Garamond"/>
                <w:szCs w:val="24"/>
              </w:rPr>
              <w:t>Identify factors that influence health messages from a variety of sources, and analyze their influence on behaviour</w:t>
            </w:r>
          </w:p>
        </w:tc>
        <w:tc>
          <w:tcPr>
            <w:tcW w:w="793" w:type="dxa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2E7D" w:rsidRPr="00EA589B" w:rsidRDefault="00CC2E7D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1C17D5">
        <w:trPr>
          <w:trHeight w:val="395"/>
        </w:trPr>
        <w:tc>
          <w:tcPr>
            <w:tcW w:w="8529" w:type="dxa"/>
            <w:shd w:val="clear" w:color="auto" w:fill="DBE5F1" w:themeFill="accent1" w:themeFillTint="33"/>
            <w:vAlign w:val="bottom"/>
          </w:tcPr>
          <w:p w:rsidR="001C17D5" w:rsidRPr="00B82469" w:rsidRDefault="001C17D5" w:rsidP="000700D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C11FA" w:rsidRPr="00E77F66" w:rsidTr="00DC11FA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Effects of different types of physical activity on the body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2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Healthy sexual decision making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Potential short-term and long-term consequences of health decisions, including those involving nutrition, protection from sexually transmitted infections, and sleep routines 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Sources of health information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Basic principles for responding to emergencies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AB25E4" w:rsidP="00DC11FA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</w:t>
            </w:r>
            <w:r w:rsidR="00DC11FA" w:rsidRPr="00DC11FA">
              <w:rPr>
                <w:rFonts w:ascii="Garamond" w:hAnsi="Garamond"/>
                <w:szCs w:val="24"/>
              </w:rPr>
              <w:t xml:space="preserve">rategies to protect themselves and others from potential abuse, exploitation, and harm in a variety of settings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>Consequences of bullying, stereotyping,</w:t>
            </w:r>
            <w:r w:rsidR="00AB25E4">
              <w:rPr>
                <w:rFonts w:ascii="Garamond" w:hAnsi="Garamond"/>
                <w:szCs w:val="24"/>
              </w:rPr>
              <w:t xml:space="preserve"> </w:t>
            </w:r>
            <w:r w:rsidRPr="00DC11FA">
              <w:rPr>
                <w:rFonts w:ascii="Garamond" w:hAnsi="Garamond"/>
                <w:szCs w:val="24"/>
              </w:rPr>
              <w:t xml:space="preserve">and discrimination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Media and social influences related to psychoactive substance use and potentially addictive behaviours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Signs and symptoms of stress, anxiety, and depression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5E24C4" w:rsidRDefault="005E24C4" w:rsidP="00232A76">
      <w:pPr>
        <w:ind w:firstLine="0"/>
        <w:rPr>
          <w:rFonts w:ascii="Berlin Sans FB Demi" w:hAnsi="Berlin Sans FB Demi"/>
          <w:b/>
          <w:sz w:val="20"/>
        </w:rPr>
      </w:pPr>
    </w:p>
    <w:p w:rsidR="000700D5" w:rsidRDefault="000700D5" w:rsidP="00232A76">
      <w:pPr>
        <w:ind w:firstLine="0"/>
        <w:rPr>
          <w:rFonts w:ascii="Berlin Sans FB Demi" w:hAnsi="Berlin Sans FB Demi"/>
          <w:b/>
          <w:sz w:val="20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0700D5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0700D5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EA589B">
        <w:trPr>
          <w:trHeight w:val="631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EA589B">
        <w:trPr>
          <w:trHeight w:val="41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A2281" w:rsidRDefault="004A2281" w:rsidP="00232A76">
      <w:pPr>
        <w:ind w:firstLine="0"/>
        <w:rPr>
          <w:rFonts w:ascii="Garamond" w:hAnsi="Garamond"/>
          <w:b/>
          <w:sz w:val="28"/>
        </w:rPr>
      </w:pPr>
    </w:p>
    <w:p w:rsidR="000700D5" w:rsidRDefault="000700D5" w:rsidP="00232A76">
      <w:pPr>
        <w:ind w:firstLine="0"/>
        <w:rPr>
          <w:rFonts w:ascii="Garamond" w:hAnsi="Garamond"/>
          <w:b/>
          <w:sz w:val="28"/>
        </w:rPr>
      </w:pPr>
    </w:p>
    <w:p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lastRenderedPageBreak/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:rsidTr="007E1A61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CE5FA4" w:rsidRDefault="00D01D12" w:rsidP="000700D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CE5FA4" w:rsidTr="007E1A61">
        <w:trPr>
          <w:trHeight w:val="242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Recognize their personal preferences, skills, strengths, and abilities and connect them to possible career choices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26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Question self and others about how individual purposes and passions can support the needs of the local and global community when considering career choices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Recognize the impact of personal public identity in the world of work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F34E3F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Examine the importance of service learning and the responsibility of individuals to contribute to the community and the world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F34E3F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Demonstrate respect, collaboration, and inclusivity in working with others to solve problems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Demonstrate leadership skills through collaborative activities in the school and community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Recognize the influence of curriculum choices and co-curricular activities on career paths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Set and achieve realistic learning goals with perseverance and resilience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Apply a variety of research skills to expand their knowledge of diverse career possibilities and understand career clusters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Apply decision-making strategies to a life, work, or community problem and adjust the strategies to adapt to new situations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Explore volunteer and other new learning experiences that stimulate entrepreneurial and innovative thinking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B82469" w:rsidTr="007E1A61">
        <w:trPr>
          <w:trHeight w:val="395"/>
        </w:trPr>
        <w:tc>
          <w:tcPr>
            <w:tcW w:w="8529" w:type="dxa"/>
            <w:shd w:val="clear" w:color="auto" w:fill="DBE5F1" w:themeFill="accent1" w:themeFillTint="33"/>
          </w:tcPr>
          <w:p w:rsidR="007E1A61" w:rsidRPr="00B82469" w:rsidRDefault="007E1A61" w:rsidP="000700D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0700D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7E1A61">
            <w:pPr>
              <w:spacing w:before="100" w:beforeAutospacing="1" w:after="100" w:afterAutospacing="1"/>
              <w:ind w:firstLine="0"/>
              <w:rPr>
                <w:rFonts w:ascii="Garamond" w:hAnsi="Garamond"/>
              </w:rPr>
            </w:pPr>
            <w:r w:rsidRPr="007E1A61">
              <w:rPr>
                <w:rFonts w:ascii="Garamond" w:hAnsi="Garamond"/>
                <w:b/>
              </w:rPr>
              <w:t>Personal Development:</w:t>
            </w:r>
            <w:r w:rsidRPr="007E1A61">
              <w:rPr>
                <w:rFonts w:ascii="Garamond" w:hAnsi="Garamond"/>
              </w:rPr>
              <w:t xml:space="preserve"> Goal-setting strategies, self-assessment</w:t>
            </w:r>
            <w:r w:rsidR="00DC11FA">
              <w:rPr>
                <w:rFonts w:ascii="Garamond" w:hAnsi="Garamond"/>
              </w:rPr>
              <w:t xml:space="preserve"> for career research</w:t>
            </w:r>
            <w:r w:rsidRPr="007E1A61">
              <w:rPr>
                <w:rFonts w:ascii="Garamond" w:hAnsi="Garamond"/>
              </w:rPr>
              <w:t>, project management, leadership, problem-solving and decision-making strategies</w:t>
            </w: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0B30D7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 xml:space="preserve">Connections to Community: </w:t>
            </w:r>
            <w:r w:rsidRPr="007E1A61">
              <w:rPr>
                <w:rFonts w:ascii="Garamond" w:hAnsi="Garamond"/>
              </w:rPr>
              <w:t xml:space="preserve">Local and global needs and opportunities, cultural and social awareness, </w:t>
            </w:r>
            <w:r w:rsidR="000B30D7">
              <w:rPr>
                <w:rFonts w:ascii="Garamond" w:hAnsi="Garamond"/>
              </w:rPr>
              <w:t xml:space="preserve">career value of volunteering, </w:t>
            </w:r>
            <w:r w:rsidR="000B30D7">
              <w:t>f</w:t>
            </w:r>
            <w:r w:rsidR="000B30D7" w:rsidRPr="000B30D7">
              <w:rPr>
                <w:rFonts w:ascii="Garamond" w:hAnsi="Garamond"/>
              </w:rPr>
              <w:t>actors affecting types of jobs in the community</w:t>
            </w: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271"/>
        </w:trPr>
        <w:tc>
          <w:tcPr>
            <w:tcW w:w="8529" w:type="dxa"/>
            <w:vAlign w:val="center"/>
          </w:tcPr>
          <w:p w:rsidR="007E1A61" w:rsidRPr="000B30D7" w:rsidRDefault="007E1A61" w:rsidP="000B30D7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</w:rPr>
            </w:pPr>
            <w:r w:rsidRPr="007E1A61">
              <w:rPr>
                <w:rStyle w:val="Strong"/>
                <w:rFonts w:ascii="Garamond" w:hAnsi="Garamond"/>
              </w:rPr>
              <w:t>Life and Career Plan:</w:t>
            </w:r>
            <w:r w:rsidRPr="007E1A61">
              <w:rPr>
                <w:rFonts w:ascii="Garamond" w:hAnsi="Garamond"/>
              </w:rPr>
              <w:t xml:space="preserve"> </w:t>
            </w:r>
            <w:r w:rsidR="000B30D7">
              <w:rPr>
                <w:rFonts w:ascii="Garamond" w:hAnsi="Garamond"/>
              </w:rPr>
              <w:t>G</w:t>
            </w:r>
            <w:r w:rsidR="000B30D7" w:rsidRPr="00A7343D">
              <w:rPr>
                <w:rFonts w:ascii="Garamond" w:hAnsi="Garamond"/>
              </w:rPr>
              <w:t>raduation requirements, influence of technology in learning and working, workplace safety (hazard evaluation and control, rights and responsibilities of the worker, emergency procedures)</w:t>
            </w: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0700D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FC5336" w:rsidRDefault="00FC5336" w:rsidP="00FC5336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Second Language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FC5336" w:rsidRPr="00B82469" w:rsidTr="000700D5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FC5336" w:rsidRPr="00B82469" w:rsidRDefault="00FC5336" w:rsidP="000700D5">
            <w:pPr>
              <w:ind w:firstLine="0"/>
              <w:rPr>
                <w:rFonts w:ascii="Garamond" w:hAnsi="Garamond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0700D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C5336" w:rsidRPr="00B82469" w:rsidTr="000700D5">
        <w:trPr>
          <w:trHeight w:val="262"/>
        </w:trPr>
        <w:tc>
          <w:tcPr>
            <w:tcW w:w="8460" w:type="dxa"/>
          </w:tcPr>
          <w:p w:rsidR="00FC5336" w:rsidRPr="009618AA" w:rsidRDefault="00FC5336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personal information orally in brief and simple messages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0700D5">
        <w:trPr>
          <w:trHeight w:val="271"/>
        </w:trPr>
        <w:tc>
          <w:tcPr>
            <w:tcW w:w="8460" w:type="dxa"/>
          </w:tcPr>
          <w:p w:rsidR="00FC5336" w:rsidRPr="009618AA" w:rsidRDefault="00FC5336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Asks and responds to simple questions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0700D5">
        <w:trPr>
          <w:trHeight w:val="298"/>
        </w:trPr>
        <w:tc>
          <w:tcPr>
            <w:tcW w:w="8460" w:type="dxa"/>
          </w:tcPr>
          <w:p w:rsidR="00FC5336" w:rsidRPr="009618AA" w:rsidRDefault="00FC5336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Identifies and uses common expressions and greetings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0700D5">
        <w:trPr>
          <w:cantSplit/>
          <w:trHeight w:val="242"/>
        </w:trPr>
        <w:tc>
          <w:tcPr>
            <w:tcW w:w="8460" w:type="dxa"/>
          </w:tcPr>
          <w:p w:rsidR="00FC5336" w:rsidRPr="009618AA" w:rsidRDefault="00FC5336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likes, dislikes, wants, and needs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0700D5">
        <w:trPr>
          <w:cantSplit/>
          <w:trHeight w:val="260"/>
        </w:trPr>
        <w:tc>
          <w:tcPr>
            <w:tcW w:w="8460" w:type="dxa"/>
          </w:tcPr>
          <w:p w:rsidR="00FC5336" w:rsidRPr="009618AA" w:rsidRDefault="00FC5336" w:rsidP="000700D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Expresses acquired information in oral and visual forms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0700D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5C4717" w:rsidRDefault="005C4717" w:rsidP="00086D97">
      <w:pPr>
        <w:ind w:firstLine="0"/>
        <w:rPr>
          <w:rFonts w:ascii="Garamond" w:hAnsi="Garamond"/>
          <w:b/>
          <w:sz w:val="28"/>
        </w:rPr>
      </w:pPr>
    </w:p>
    <w:p w:rsidR="005C4717" w:rsidRDefault="005C4717" w:rsidP="00086D97">
      <w:pPr>
        <w:ind w:firstLine="0"/>
        <w:rPr>
          <w:rFonts w:ascii="Garamond" w:hAnsi="Garamond"/>
          <w:b/>
          <w:sz w:val="28"/>
        </w:rPr>
      </w:pPr>
      <w:bookmarkStart w:id="0" w:name="_GoBack"/>
      <w:bookmarkEnd w:id="0"/>
    </w:p>
    <w:p w:rsidR="00242711" w:rsidRPr="00B82469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lastRenderedPageBreak/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:rsidTr="0058296D">
        <w:trPr>
          <w:trHeight w:val="262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71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98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42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key features or potential users and their requirements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60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criteria for success and any constraints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62"/>
        </w:trPr>
        <w:tc>
          <w:tcPr>
            <w:tcW w:w="8460" w:type="dxa"/>
          </w:tcPr>
          <w:p w:rsidR="00843538" w:rsidRPr="00F331EA" w:rsidRDefault="0001694E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Generate ideas and c</w:t>
            </w:r>
            <w:r w:rsidR="00F331EA" w:rsidRPr="00F331EA">
              <w:rPr>
                <w:rFonts w:ascii="Garamond" w:eastAsia="Times New Roman" w:hAnsi="Garamond"/>
                <w:szCs w:val="24"/>
              </w:rPr>
              <w:t>hoose an idea to pursue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24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</w:t>
            </w:r>
            <w:r w:rsidR="0001694E">
              <w:rPr>
                <w:rFonts w:ascii="Garamond" w:eastAsia="Times New Roman" w:hAnsi="Garamond"/>
                <w:szCs w:val="24"/>
              </w:rPr>
              <w:t>, gather feedback,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and improve a prototype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:rsidTr="0058296D">
        <w:trPr>
          <w:cantSplit/>
          <w:trHeight w:val="224"/>
        </w:trPr>
        <w:tc>
          <w:tcPr>
            <w:tcW w:w="8460" w:type="dxa"/>
          </w:tcPr>
          <w:p w:rsidR="00F331EA" w:rsidRPr="00F331EA" w:rsidRDefault="00F331EA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</w:t>
            </w:r>
            <w:r w:rsidR="0001694E">
              <w:rPr>
                <w:rFonts w:ascii="Garamond" w:eastAsia="Times New Roman" w:hAnsi="Garamond"/>
                <w:szCs w:val="24"/>
              </w:rPr>
              <w:t>, share, and evaluate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the final product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4E221E">
            <w:pPr>
              <w:ind w:firstLine="0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4E221E">
      <w:pPr>
        <w:ind w:firstLine="0"/>
        <w:rPr>
          <w:rFonts w:ascii="Garamond" w:hAnsi="Garamond"/>
        </w:rPr>
      </w:pPr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8FC6F29"/>
    <w:multiLevelType w:val="multilevel"/>
    <w:tmpl w:val="732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31148"/>
    <w:multiLevelType w:val="multilevel"/>
    <w:tmpl w:val="43B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DC90BF9"/>
    <w:multiLevelType w:val="multilevel"/>
    <w:tmpl w:val="F3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A6F94"/>
    <w:multiLevelType w:val="multilevel"/>
    <w:tmpl w:val="BD00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A1D"/>
    <w:multiLevelType w:val="multilevel"/>
    <w:tmpl w:val="74F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091E"/>
    <w:multiLevelType w:val="multilevel"/>
    <w:tmpl w:val="E61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B5BDF"/>
    <w:multiLevelType w:val="multilevel"/>
    <w:tmpl w:val="772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577C"/>
    <w:multiLevelType w:val="multilevel"/>
    <w:tmpl w:val="D25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D0F9E"/>
    <w:multiLevelType w:val="multilevel"/>
    <w:tmpl w:val="B7D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46EA"/>
    <w:multiLevelType w:val="multilevel"/>
    <w:tmpl w:val="AB4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5176697"/>
    <w:multiLevelType w:val="multilevel"/>
    <w:tmpl w:val="ECF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82264"/>
    <w:multiLevelType w:val="multilevel"/>
    <w:tmpl w:val="318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54CD1"/>
    <w:multiLevelType w:val="multilevel"/>
    <w:tmpl w:val="62B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0962A7"/>
    <w:multiLevelType w:val="multilevel"/>
    <w:tmpl w:val="E5A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5"/>
  </w:num>
  <w:num w:numId="3">
    <w:abstractNumId w:val="34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23"/>
  </w:num>
  <w:num w:numId="10">
    <w:abstractNumId w:val="25"/>
  </w:num>
  <w:num w:numId="11">
    <w:abstractNumId w:val="20"/>
  </w:num>
  <w:num w:numId="12">
    <w:abstractNumId w:val="29"/>
  </w:num>
  <w:num w:numId="13">
    <w:abstractNumId w:val="16"/>
  </w:num>
  <w:num w:numId="14">
    <w:abstractNumId w:val="18"/>
  </w:num>
  <w:num w:numId="15">
    <w:abstractNumId w:val="0"/>
  </w:num>
  <w:num w:numId="16">
    <w:abstractNumId w:val="33"/>
  </w:num>
  <w:num w:numId="17">
    <w:abstractNumId w:val="36"/>
  </w:num>
  <w:num w:numId="18">
    <w:abstractNumId w:val="28"/>
  </w:num>
  <w:num w:numId="19">
    <w:abstractNumId w:val="7"/>
  </w:num>
  <w:num w:numId="20">
    <w:abstractNumId w:val="8"/>
  </w:num>
  <w:num w:numId="21">
    <w:abstractNumId w:val="31"/>
  </w:num>
  <w:num w:numId="22">
    <w:abstractNumId w:val="27"/>
  </w:num>
  <w:num w:numId="23">
    <w:abstractNumId w:val="32"/>
  </w:num>
  <w:num w:numId="24">
    <w:abstractNumId w:val="15"/>
  </w:num>
  <w:num w:numId="25">
    <w:abstractNumId w:val="22"/>
  </w:num>
  <w:num w:numId="26">
    <w:abstractNumId w:val="2"/>
  </w:num>
  <w:num w:numId="27">
    <w:abstractNumId w:val="26"/>
  </w:num>
  <w:num w:numId="28">
    <w:abstractNumId w:val="24"/>
  </w:num>
  <w:num w:numId="29">
    <w:abstractNumId w:val="5"/>
  </w:num>
  <w:num w:numId="30">
    <w:abstractNumId w:val="17"/>
  </w:num>
  <w:num w:numId="31">
    <w:abstractNumId w:val="14"/>
  </w:num>
  <w:num w:numId="32">
    <w:abstractNumId w:val="6"/>
  </w:num>
  <w:num w:numId="33">
    <w:abstractNumId w:val="3"/>
  </w:num>
  <w:num w:numId="34">
    <w:abstractNumId w:val="19"/>
  </w:num>
  <w:num w:numId="35">
    <w:abstractNumId w:val="21"/>
  </w:num>
  <w:num w:numId="36">
    <w:abstractNumId w:val="13"/>
  </w:num>
  <w:num w:numId="37">
    <w:abstractNumId w:val="37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29E1"/>
    <w:rsid w:val="00003A04"/>
    <w:rsid w:val="0001694E"/>
    <w:rsid w:val="000408CE"/>
    <w:rsid w:val="00042F4E"/>
    <w:rsid w:val="00054621"/>
    <w:rsid w:val="00056DF3"/>
    <w:rsid w:val="00066C03"/>
    <w:rsid w:val="000671FE"/>
    <w:rsid w:val="000700D5"/>
    <w:rsid w:val="00071D8F"/>
    <w:rsid w:val="000844DF"/>
    <w:rsid w:val="00086D97"/>
    <w:rsid w:val="00087492"/>
    <w:rsid w:val="00087BF7"/>
    <w:rsid w:val="000B0C6B"/>
    <w:rsid w:val="000B30D7"/>
    <w:rsid w:val="000C3A00"/>
    <w:rsid w:val="000C4C37"/>
    <w:rsid w:val="000C5F67"/>
    <w:rsid w:val="000D17D0"/>
    <w:rsid w:val="000F05C2"/>
    <w:rsid w:val="000F6658"/>
    <w:rsid w:val="0010732B"/>
    <w:rsid w:val="00122E39"/>
    <w:rsid w:val="00173450"/>
    <w:rsid w:val="0018383A"/>
    <w:rsid w:val="00185295"/>
    <w:rsid w:val="001869AD"/>
    <w:rsid w:val="001A5E2C"/>
    <w:rsid w:val="001A6817"/>
    <w:rsid w:val="001C17D5"/>
    <w:rsid w:val="001C6186"/>
    <w:rsid w:val="001E3AEB"/>
    <w:rsid w:val="001F1D2E"/>
    <w:rsid w:val="001F30D6"/>
    <w:rsid w:val="002001B8"/>
    <w:rsid w:val="0022464E"/>
    <w:rsid w:val="00226272"/>
    <w:rsid w:val="00226F15"/>
    <w:rsid w:val="00232A76"/>
    <w:rsid w:val="00237146"/>
    <w:rsid w:val="00237496"/>
    <w:rsid w:val="00242711"/>
    <w:rsid w:val="00291AC2"/>
    <w:rsid w:val="002955F6"/>
    <w:rsid w:val="002A3798"/>
    <w:rsid w:val="002A4BA7"/>
    <w:rsid w:val="002B2588"/>
    <w:rsid w:val="002C1D80"/>
    <w:rsid w:val="002E60FF"/>
    <w:rsid w:val="002E7228"/>
    <w:rsid w:val="0030235B"/>
    <w:rsid w:val="003179ED"/>
    <w:rsid w:val="00324924"/>
    <w:rsid w:val="003311B9"/>
    <w:rsid w:val="00336A5E"/>
    <w:rsid w:val="00352876"/>
    <w:rsid w:val="003575FC"/>
    <w:rsid w:val="003576EB"/>
    <w:rsid w:val="003579BC"/>
    <w:rsid w:val="00371170"/>
    <w:rsid w:val="00381532"/>
    <w:rsid w:val="003913DE"/>
    <w:rsid w:val="003A3DE8"/>
    <w:rsid w:val="003C6231"/>
    <w:rsid w:val="003E3FC4"/>
    <w:rsid w:val="00410A79"/>
    <w:rsid w:val="00415E38"/>
    <w:rsid w:val="00417E05"/>
    <w:rsid w:val="00422B51"/>
    <w:rsid w:val="0044053D"/>
    <w:rsid w:val="00452DA5"/>
    <w:rsid w:val="00467617"/>
    <w:rsid w:val="004A0751"/>
    <w:rsid w:val="004A2281"/>
    <w:rsid w:val="004D06E1"/>
    <w:rsid w:val="004E05F9"/>
    <w:rsid w:val="004E221E"/>
    <w:rsid w:val="004E65AF"/>
    <w:rsid w:val="004F2351"/>
    <w:rsid w:val="005505DE"/>
    <w:rsid w:val="00551A08"/>
    <w:rsid w:val="0055324A"/>
    <w:rsid w:val="00554CAF"/>
    <w:rsid w:val="0058296D"/>
    <w:rsid w:val="005A55CE"/>
    <w:rsid w:val="005C38AD"/>
    <w:rsid w:val="005C4717"/>
    <w:rsid w:val="005E24C4"/>
    <w:rsid w:val="006214DA"/>
    <w:rsid w:val="0063410A"/>
    <w:rsid w:val="00634457"/>
    <w:rsid w:val="00635FBD"/>
    <w:rsid w:val="00642C47"/>
    <w:rsid w:val="00684D18"/>
    <w:rsid w:val="006A5E46"/>
    <w:rsid w:val="006B2613"/>
    <w:rsid w:val="006D6800"/>
    <w:rsid w:val="006E2F94"/>
    <w:rsid w:val="006F03D0"/>
    <w:rsid w:val="00702ECB"/>
    <w:rsid w:val="007158B8"/>
    <w:rsid w:val="00734415"/>
    <w:rsid w:val="00737F26"/>
    <w:rsid w:val="00744963"/>
    <w:rsid w:val="007520EB"/>
    <w:rsid w:val="00752FEE"/>
    <w:rsid w:val="00763742"/>
    <w:rsid w:val="00766A5F"/>
    <w:rsid w:val="007B7B3E"/>
    <w:rsid w:val="007D03A6"/>
    <w:rsid w:val="007D10BD"/>
    <w:rsid w:val="007D5C4E"/>
    <w:rsid w:val="007E1A61"/>
    <w:rsid w:val="007E237B"/>
    <w:rsid w:val="007E2D19"/>
    <w:rsid w:val="007E6ABD"/>
    <w:rsid w:val="007F132A"/>
    <w:rsid w:val="0080097B"/>
    <w:rsid w:val="008273A1"/>
    <w:rsid w:val="00827F7E"/>
    <w:rsid w:val="00843538"/>
    <w:rsid w:val="0085150C"/>
    <w:rsid w:val="00861114"/>
    <w:rsid w:val="008A0EAC"/>
    <w:rsid w:val="008A421B"/>
    <w:rsid w:val="008C1C50"/>
    <w:rsid w:val="008C4A7B"/>
    <w:rsid w:val="008D3341"/>
    <w:rsid w:val="008D79B0"/>
    <w:rsid w:val="008E3FBC"/>
    <w:rsid w:val="008F4046"/>
    <w:rsid w:val="00915822"/>
    <w:rsid w:val="00933C29"/>
    <w:rsid w:val="00936658"/>
    <w:rsid w:val="00944910"/>
    <w:rsid w:val="00946372"/>
    <w:rsid w:val="009545DC"/>
    <w:rsid w:val="009573E8"/>
    <w:rsid w:val="00962A98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13EFE"/>
    <w:rsid w:val="00A22793"/>
    <w:rsid w:val="00A2302C"/>
    <w:rsid w:val="00A7343D"/>
    <w:rsid w:val="00AB036C"/>
    <w:rsid w:val="00AB25E4"/>
    <w:rsid w:val="00AB561A"/>
    <w:rsid w:val="00AF411D"/>
    <w:rsid w:val="00B303E5"/>
    <w:rsid w:val="00B4505A"/>
    <w:rsid w:val="00B50CBA"/>
    <w:rsid w:val="00B74ABC"/>
    <w:rsid w:val="00B82469"/>
    <w:rsid w:val="00BB524D"/>
    <w:rsid w:val="00BC3C61"/>
    <w:rsid w:val="00BE0E27"/>
    <w:rsid w:val="00BE18A0"/>
    <w:rsid w:val="00BE512C"/>
    <w:rsid w:val="00BF606C"/>
    <w:rsid w:val="00C15FFF"/>
    <w:rsid w:val="00C225B5"/>
    <w:rsid w:val="00C359B1"/>
    <w:rsid w:val="00C5708C"/>
    <w:rsid w:val="00C6570E"/>
    <w:rsid w:val="00C71493"/>
    <w:rsid w:val="00CB540A"/>
    <w:rsid w:val="00CC0D48"/>
    <w:rsid w:val="00CC2E7D"/>
    <w:rsid w:val="00CD27FC"/>
    <w:rsid w:val="00CE5FA4"/>
    <w:rsid w:val="00D01D04"/>
    <w:rsid w:val="00D01D12"/>
    <w:rsid w:val="00D148D9"/>
    <w:rsid w:val="00D2518D"/>
    <w:rsid w:val="00D34498"/>
    <w:rsid w:val="00D54B8F"/>
    <w:rsid w:val="00D67643"/>
    <w:rsid w:val="00DB737E"/>
    <w:rsid w:val="00DC11FA"/>
    <w:rsid w:val="00DC4035"/>
    <w:rsid w:val="00DD3EA2"/>
    <w:rsid w:val="00DD552E"/>
    <w:rsid w:val="00E06C13"/>
    <w:rsid w:val="00E301C9"/>
    <w:rsid w:val="00E3155F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331EA"/>
    <w:rsid w:val="00F34E3F"/>
    <w:rsid w:val="00F811EE"/>
    <w:rsid w:val="00F81F83"/>
    <w:rsid w:val="00F872C2"/>
    <w:rsid w:val="00F91140"/>
    <w:rsid w:val="00FA168D"/>
    <w:rsid w:val="00FA312F"/>
    <w:rsid w:val="00FC50BD"/>
    <w:rsid w:val="00FC5336"/>
    <w:rsid w:val="00FC7ED3"/>
    <w:rsid w:val="00FF5D3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3F2364-F519-4333-AFE4-4146325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  <w:style w:type="character" w:customStyle="1" w:styleId="97">
    <w:name w:val="97"/>
    <w:basedOn w:val="DefaultParagraphFont"/>
    <w:rsid w:val="000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E678-8D17-4A1E-817F-9439C71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Nashira Birch</dc:creator>
  <cp:lastModifiedBy>Sarah Keenan</cp:lastModifiedBy>
  <cp:revision>3</cp:revision>
  <dcterms:created xsi:type="dcterms:W3CDTF">2018-04-24T22:16:00Z</dcterms:created>
  <dcterms:modified xsi:type="dcterms:W3CDTF">2018-04-24T23:38:00Z</dcterms:modified>
</cp:coreProperties>
</file>